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
          <w:tab w:val="center" w:pos="4422"/>
        </w:tabs>
        <w:ind w:firstLine="723" w:firstLineChars="100"/>
        <w:jc w:val="center"/>
        <w:rPr>
          <w:rFonts w:hint="eastAsia"/>
        </w:rPr>
      </w:pPr>
      <w:r>
        <w:rPr>
          <w:rFonts w:ascii="宋体" w:hAnsi="宋体" w:eastAsia="宋体" w:cs="宋体"/>
          <w:b/>
          <w:bCs/>
          <w:color w:val="FF0000"/>
          <w:sz w:val="72"/>
          <w:szCs w:val="72"/>
          <w:u w:val="none"/>
        </w:rPr>
        <w:fldChar w:fldCharType="begin"/>
      </w:r>
      <w:r>
        <w:rPr>
          <w:rFonts w:ascii="宋体" w:hAnsi="宋体" w:eastAsia="宋体" w:cs="宋体"/>
          <w:b/>
          <w:bCs/>
          <w:color w:val="FF0000"/>
          <w:sz w:val="72"/>
          <w:szCs w:val="72"/>
          <w:u w:val="none"/>
        </w:rPr>
        <w:instrText xml:space="preserve"> HYPERLINK "http://oa.xmedu.cn:8000/jcs/red/red!list.action?moduId=402881db3c182a26013c1835f525000e" \l "##" </w:instrText>
      </w:r>
      <w:r>
        <w:rPr>
          <w:rFonts w:ascii="宋体" w:hAnsi="宋体" w:eastAsia="宋体" w:cs="宋体"/>
          <w:b/>
          <w:bCs/>
          <w:color w:val="FF0000"/>
          <w:sz w:val="72"/>
          <w:szCs w:val="72"/>
          <w:u w:val="none"/>
        </w:rPr>
        <w:fldChar w:fldCharType="separate"/>
      </w:r>
      <w:r>
        <w:rPr>
          <w:rStyle w:val="4"/>
          <w:rFonts w:ascii="宋体" w:hAnsi="宋体" w:eastAsia="宋体" w:cs="宋体"/>
          <w:b/>
          <w:bCs/>
          <w:color w:val="FF0000"/>
          <w:sz w:val="72"/>
          <w:szCs w:val="72"/>
          <w:u w:val="none"/>
        </w:rPr>
        <w:t>厦门市教育局业务</w:t>
      </w:r>
      <w:r>
        <w:rPr>
          <w:rStyle w:val="4"/>
          <w:rFonts w:hint="eastAsia" w:ascii="宋体" w:hAnsi="宋体" w:eastAsia="宋体" w:cs="宋体"/>
          <w:b/>
          <w:bCs/>
          <w:color w:val="FF0000"/>
          <w:sz w:val="72"/>
          <w:szCs w:val="72"/>
          <w:u w:val="none"/>
          <w:lang w:eastAsia="zh-CN"/>
        </w:rPr>
        <w:t>公文</w:t>
      </w:r>
      <w:r>
        <w:rPr>
          <w:rFonts w:ascii="宋体" w:hAnsi="宋体" w:eastAsia="宋体" w:cs="宋体"/>
          <w:b/>
          <w:bCs/>
          <w:color w:val="FF0000"/>
          <w:sz w:val="72"/>
          <w:szCs w:val="72"/>
          <w:u w:val="none"/>
        </w:rPr>
        <w:fldChar w:fldCharType="end"/>
      </w:r>
    </w:p>
    <w:p>
      <w:pPr>
        <w:rPr>
          <w:rFonts w:hint="eastAsia"/>
        </w:rPr>
      </w:pPr>
      <w:r>
        <w:rPr>
          <w:rFonts w:hint="eastAsia"/>
        </w:rPr>
        <mc:AlternateContent>
          <mc:Choice Requires="wps">
            <w:drawing>
              <wp:anchor distT="0" distB="0" distL="114300" distR="114300" simplePos="0" relativeHeight="251659264" behindDoc="0" locked="0" layoutInCell="1" allowOverlap="1">
                <wp:simplePos x="0" y="0"/>
                <wp:positionH relativeFrom="margin">
                  <wp:posOffset>85725</wp:posOffset>
                </wp:positionH>
                <wp:positionV relativeFrom="margin">
                  <wp:posOffset>744220</wp:posOffset>
                </wp:positionV>
                <wp:extent cx="5657850" cy="0"/>
                <wp:effectExtent l="0" t="22225" r="11430" b="23495"/>
                <wp:wrapNone/>
                <wp:docPr id="1" name="直线 2"/>
                <wp:cNvGraphicFramePr/>
                <a:graphic xmlns:a="http://schemas.openxmlformats.org/drawingml/2006/main">
                  <a:graphicData uri="http://schemas.microsoft.com/office/word/2010/wordprocessingShape">
                    <wps:wsp>
                      <wps:cNvCnPr/>
                      <wps:spPr>
                        <a:xfrm>
                          <a:off x="0" y="0"/>
                          <a:ext cx="5657850" cy="0"/>
                        </a:xfrm>
                        <a:prstGeom prst="line">
                          <a:avLst/>
                        </a:prstGeom>
                        <a:ln w="44450" cap="flat" cmpd="sng">
                          <a:solidFill>
                            <a:srgbClr val="FF0000"/>
                          </a:solidFill>
                          <a:prstDash val="solid"/>
                          <a:headEnd type="none" w="med" len="med"/>
                          <a:tailEnd type="none" w="med" len="med"/>
                        </a:ln>
                      </wps:spPr>
                      <wps:bodyPr upright="1"/>
                    </wps:wsp>
                  </a:graphicData>
                </a:graphic>
              </wp:anchor>
            </w:drawing>
          </mc:Choice>
          <mc:Fallback>
            <w:pict>
              <v:line id="直线 2" o:spid="_x0000_s1026" o:spt="20" style="position:absolute;left:0pt;margin-left:6.75pt;margin-top:58.6pt;height:0pt;width:445.5pt;mso-position-horizontal-relative:margin;mso-position-vertical-relative:margin;z-index:251659264;mso-width-relative:page;mso-height-relative:page;" filled="f" stroked="t" coordsize="21600,21600" o:gfxdata="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xLkLc&#10;1gAAAAoBAAAPAAAAAAAAAAEAIAAAACIAAABkcnMvZG93bnJldi54bWxQSwECFAAUAAAACACHTuJA&#10;HsYovuoBAADcAwAADgAAAAAAAAABACAAAAAlAQAAZHJzL2Uyb0RvYy54bWxQSwUGAAAAAAYABgBZ&#10;AQAAgQUAAAAA&#10;">
                <v:fill on="f" focussize="0,0"/>
                <v:stroke weight="3.5pt" color="#FF0000" joinstyle="round"/>
                <v:imagedata o:title=""/>
                <o:lock v:ext="edit" aspectratio="f"/>
              </v:line>
            </w:pict>
          </mc:Fallback>
        </mc:AlternateContent>
      </w:r>
    </w:p>
    <w:p>
      <w:pPr>
        <w:rPr>
          <w:rFonts w:hint="eastAsia"/>
        </w:rPr>
      </w:pPr>
    </w:p>
    <w:p>
      <w:pPr>
        <w:rPr>
          <w:rFonts w:hint="eastAsia"/>
        </w:rPr>
      </w:pPr>
    </w:p>
    <w:p>
      <w:pPr>
        <w:jc w:val="center"/>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关于开展202</w:t>
      </w:r>
      <w:r>
        <w:rPr>
          <w:rFonts w:hint="eastAsia" w:ascii="宋体" w:hAnsi="宋体" w:cs="宋体"/>
          <w:b/>
          <w:bCs/>
          <w:sz w:val="44"/>
          <w:szCs w:val="44"/>
          <w:lang w:val="en-US" w:eastAsia="zh-CN"/>
        </w:rPr>
        <w:t>1</w:t>
      </w:r>
      <w:r>
        <w:rPr>
          <w:rFonts w:hint="eastAsia" w:ascii="宋体" w:hAnsi="宋体" w:eastAsia="宋体" w:cs="宋体"/>
          <w:b/>
          <w:bCs/>
          <w:sz w:val="44"/>
          <w:szCs w:val="44"/>
          <w:lang w:val="en-US" w:eastAsia="zh-CN"/>
        </w:rPr>
        <w:t>年厦门市职业院校</w:t>
      </w:r>
    </w:p>
    <w:p>
      <w:pPr>
        <w:jc w:val="center"/>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现代学徒制建设项目年度考核</w:t>
      </w:r>
      <w:r>
        <w:rPr>
          <w:rFonts w:hint="eastAsia" w:ascii="宋体" w:hAnsi="宋体" w:cs="宋体"/>
          <w:b/>
          <w:bCs/>
          <w:sz w:val="44"/>
          <w:szCs w:val="44"/>
          <w:lang w:val="en-US" w:eastAsia="zh-CN"/>
        </w:rPr>
        <w:t>和首批现代学徒制项目验收</w:t>
      </w:r>
      <w:r>
        <w:rPr>
          <w:rFonts w:hint="eastAsia" w:ascii="宋体" w:hAnsi="宋体" w:eastAsia="宋体" w:cs="宋体"/>
          <w:b/>
          <w:bCs/>
          <w:sz w:val="44"/>
          <w:szCs w:val="44"/>
          <w:lang w:val="en-US" w:eastAsia="zh-CN"/>
        </w:rPr>
        <w:t>的通知</w:t>
      </w:r>
    </w:p>
    <w:p>
      <w:pPr>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各区教育局、各高等职业院校、各中等职业学校</w:t>
      </w:r>
      <w:bookmarkStart w:id="0" w:name="_GoBack"/>
      <w:bookmarkEnd w:id="0"/>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根据《厦门市教育局关于印发厦门市职业院校现代学徒制项目建设工作实施方案的通知》（厦教职〔2018〕11号）要求，现决定开展2021年度现代学徒制项目年度考核和首批现代学徒制项目验收。</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一、考核工作</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1.考核对象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2020年考核通过的29个厦门市职业院校现代学徒制建设项目（附件1）。</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2.考核内容</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照各现代学徒制项目的任务书，考核各建设项目年度内在校企协同育人机制、招生与招工一体化、人才培养方案与标准、队伍建设、管理制度、保障措施、特色与创新做法方面的工作开展情况。若出现因特殊原因导致原定任务无法完成的情况，如企业注销或停办等特殊原因致校企合作终止，学校需及时上报情况说明和改进措施。工作不到位的，取消培育项目建设资格。</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3.考核方式</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市教育局组织专家对各项目报送的材料进行审核并综合评定年度考核成绩。对通过考核的项目拨付年度建设补助经费，对工作开展不力的项目视情况责令其整改或取消建设资格。</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4.材料要求</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请各建设项目将年度自查报告纸质版（加盖单位公章，一式五份）及年度内校企合作协议书、成立工作机构的文件、校企生签订的协议书和学生（学徒）花名册、人才培养方案与标准、管理制度、双导师队伍建设情况等相关佐证材料原件或复印件（需加盖单位公章、装订成册），于6月15日前报送厦门市教育评估研究中心，同时发送电子版至指定邮箱。（联系人：张晓茜，联系电话：2667696，邮箱：jyj_xmdds@xm.gov.cn，地址：厦门市思明区同安路3号市教育督导评估事务中心。）</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二、验收工作</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1.验收对象</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2018年立项且2020年考核通过的24个厦门市职业院校现代学徒制建设项目（附件1）</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2.验收内容</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对照各现代学徒制项目的任务书，审核各建设项目3年建设期内在校企协同育人机制、招生与招工一体化、人才培养方案与标准、队伍建设、管理制度、保障措施、特色与创新做法方面的工作总结情况。</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3.验收方式</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市教育局组织专家对各项目报送的总结材料进行审核并综合评定成绩。对通过验收项目的典型案例、特色举措等进行评选、推广，形成厦门特色现代学徒制人才培养经验。</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4.材料要求</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请各建设项目将总结报告纸质版（加盖单位公章，一式五份）及建设期内校企合作协议书、成立工作机构的文件、校企生签订的协议书和学生（学徒）花名册、人才培养方案与标准、管理制度、双导师队伍建设情况等相关佐证材料原件或复印件（需加盖单位公章、装订成册），于6月9日前报送厦门市教育评估研究中心，同时发送电子版至指定邮箱。（联系人：张晓茜，联系电话：2667696，邮箱：jyj_xmdds@xm.gov.cn，地址：厦门市思明区同安路3号市教育评估研究中心。）</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附件1：厦门市职业院校现代学徒制建设项目一览表</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附件2：《厦门市教育局关于印发厦门市职业院校现代学徒制项目建设工作实施方案的通知》（厦教职〔2018〕11号）</w:t>
      </w:r>
    </w:p>
    <w:p>
      <w:pPr>
        <w:keepNext w:val="0"/>
        <w:keepLines w:val="0"/>
        <w:pageBreakBefore w:val="0"/>
        <w:widowControl w:val="0"/>
        <w:kinsoku/>
        <w:wordWrap/>
        <w:overflowPunct/>
        <w:topLinePunct w:val="0"/>
        <w:autoSpaceDE/>
        <w:autoSpaceDN/>
        <w:bidi w:val="0"/>
        <w:adjustRightInd/>
        <w:snapToGrid/>
        <w:spacing w:line="540" w:lineRule="exact"/>
        <w:jc w:val="right"/>
        <w:textAlignment w:val="auto"/>
        <w:rPr>
          <w:rFonts w:hint="eastAsia" w:ascii="仿宋_GB2312" w:hAnsi="仿宋_GB2312" w:eastAsia="仿宋_GB2312" w:cs="仿宋_GB2312"/>
          <w:color w:val="FF0000"/>
          <w:sz w:val="32"/>
          <w:szCs w:val="32"/>
        </w:rPr>
      </w:pP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厦门市教育局高教职教处</w:t>
      </w: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2021年5月24日</w:t>
      </w:r>
    </w:p>
    <w:p>
      <w:pPr>
        <w:rPr>
          <w:rFonts w:hint="eastAsia" w:ascii="仿宋" w:hAnsi="仿宋" w:eastAsia="仿宋" w:cs="仿宋"/>
          <w:sz w:val="32"/>
          <w:szCs w:val="32"/>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script"/>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6B1856"/>
    <w:rsid w:val="04AE37FC"/>
    <w:rsid w:val="06174037"/>
    <w:rsid w:val="0770444B"/>
    <w:rsid w:val="0B553912"/>
    <w:rsid w:val="0D9B61DA"/>
    <w:rsid w:val="191774D0"/>
    <w:rsid w:val="233F3396"/>
    <w:rsid w:val="235046D3"/>
    <w:rsid w:val="2EAE3208"/>
    <w:rsid w:val="30762C1A"/>
    <w:rsid w:val="3FB7620C"/>
    <w:rsid w:val="4CD56D54"/>
    <w:rsid w:val="526B1856"/>
    <w:rsid w:val="52B74B08"/>
    <w:rsid w:val="5A884DFB"/>
    <w:rsid w:val="64E478EC"/>
    <w:rsid w:val="653C6796"/>
    <w:rsid w:val="6B267F63"/>
    <w:rsid w:val="6E650EE4"/>
    <w:rsid w:val="6EBA0E44"/>
    <w:rsid w:val="6F4A20BC"/>
    <w:rsid w:val="6FDE582D"/>
    <w:rsid w:val="79645A2A"/>
    <w:rsid w:val="7B3458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qFormat/>
    <w:uiPriority w:val="0"/>
    <w:rPr>
      <w:rFonts w:ascii="Times New Roman" w:hAnsi="Times New Roman" w:eastAsia="宋体" w:cs="Times New Roman"/>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2020-06-29T08:37:00Z</dcterms:created>
  <dc:creator>张艳丹</dc:creator>
  <cp:lastModifiedBy>张海艳</cp:lastModifiedBy>
  <cp:lastPrinted>2021-05-21T09:18:00Z</cp:lastPrinted>
  <dcterms:modified xsi:type="dcterms:W3CDTF">2021-05-24T01:04:03Z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1A916FEFC0124299B4D518A4B7CE7715</vt:lpwstr>
  </property>
</Properties>
</file>